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00" w:lineRule="exact"/>
        <w:jc w:val="center"/>
        <w:rPr>
          <w:rFonts w:asciiTheme="minorEastAsia" w:hAnsiTheme="minorEastAsia" w:eastAsiaTheme="minorEastAsia"/>
          <w:b/>
          <w:color w:val="000000"/>
          <w:sz w:val="44"/>
          <w:szCs w:val="44"/>
        </w:rPr>
      </w:pPr>
      <w:bookmarkStart w:id="1" w:name="_GoBack"/>
      <w:bookmarkEnd w:id="1"/>
      <w:bookmarkStart w:id="0" w:name="中国衡器协会行业内争议处理规则"/>
      <w:r>
        <w:rPr>
          <w:rFonts w:hint="eastAsia" w:asciiTheme="minorEastAsia" w:hAnsiTheme="minorEastAsia" w:eastAsiaTheme="minorEastAsia"/>
          <w:b/>
          <w:color w:val="000000"/>
          <w:sz w:val="44"/>
          <w:szCs w:val="44"/>
        </w:rPr>
        <w:t>行业内争议处理规则</w:t>
      </w:r>
      <w:bookmarkEnd w:id="0"/>
    </w:p>
    <w:p>
      <w:pPr>
        <w:pStyle w:val="4"/>
        <w:spacing w:line="50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/>
          <w:color w:val="000000"/>
        </w:rPr>
        <w:t>　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第一条 为了能够正确及时处理行业内争议事件，保护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Hans"/>
        </w:rPr>
        <w:t>浙江省珠宝玉石首饰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行业协会会员单位的合法权益，制定本规则。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　第二条 本规则适用于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Hans"/>
        </w:rPr>
        <w:t>浙江省珠宝玉石首饰行业协会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会员单位之间或会员单位与非会员单位之间发生的争议处理。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　　第三条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Hans"/>
        </w:rPr>
        <w:t>浙江省珠宝玉石首饰行业协会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会员单位争议案件，应以事实为依据，法律为准绳，进行调解或裁决。当事人在处理过程中地位平等。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　　第四条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Hans"/>
        </w:rPr>
        <w:t>浙江省珠宝玉石首饰行业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协会受理行业内因履行行业公约引起的争议。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　第五条 若行业内有争议的一方为非会员单位，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Hans"/>
        </w:rPr>
        <w:t>浙江省珠宝玉石首饰行业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行业协会受理争议事项后，应邀请相关部门参与处理。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　第六条 行业内争议处理程序：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　（一）各会员单位之间发生争议时，争议各方应本着互谅互让的原则，争取以协商的方式解决。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　（二）协商不成时，双方或单方可以请求仲裁机构、司法机构等进行调解。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　（三）调解不成时，双方或单方也可依法向人民法院提起诉讼。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　第七条 行业违规违约事项的处理办法：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　（一）会员单位违反行业行规行约和行业职业道德规范的，任何单位和个人均有权向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Hans"/>
        </w:rPr>
        <w:t>浙江省珠宝玉石首饰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行业协会进行举报。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　（二）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Hans"/>
        </w:rPr>
        <w:t>浙江省珠宝玉石首饰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行业协会及时组织调查，对会员单位有违规违约行为的，根据其性质，提出如下处理意见：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　1、批评教育；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　2、组织协调双方和解；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　3、行业内部通报；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　4、公开通报；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　5、取消会员资格；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　6、建议相关部门处罚。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　第八条 本规则由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Hans"/>
        </w:rPr>
        <w:t>浙江省珠宝玉石首饰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行业协会负责解释。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</w:rPr>
        <w:t>　　第九条 本规则自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Hans"/>
        </w:rPr>
        <w:t>发布之日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起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Hans"/>
        </w:rPr>
        <w:t>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行。</w:t>
      </w:r>
    </w:p>
    <w:p>
      <w:pPr>
        <w:spacing w:line="500" w:lineRule="exact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56"/>
    <w:rsid w:val="001B3556"/>
    <w:rsid w:val="0023242B"/>
    <w:rsid w:val="00292E89"/>
    <w:rsid w:val="002B0881"/>
    <w:rsid w:val="003911A4"/>
    <w:rsid w:val="0055303C"/>
    <w:rsid w:val="00AA5C6D"/>
    <w:rsid w:val="00D86A9A"/>
    <w:rsid w:val="AE7FEACE"/>
    <w:rsid w:val="BBADE2F6"/>
    <w:rsid w:val="BBEBE43E"/>
    <w:rsid w:val="FB7DE395"/>
    <w:rsid w:val="FF3F9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580</Characters>
  <Lines>4</Lines>
  <Paragraphs>1</Paragraphs>
  <TotalTime>5</TotalTime>
  <ScaleCrop>false</ScaleCrop>
  <LinksUpToDate>false</LinksUpToDate>
  <CharactersWithSpaces>680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2020-06-05T01:03:00Z</dcterms:created>
  <dc:creator>Administrator</dc:creator>
  <cp:lastModifiedBy>谢一东</cp:lastModifiedBy>
  <dcterms:modified xsi:type="dcterms:W3CDTF">2022-11-06T10:33:21Z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85097046892C55DCE5805E63BDB50887</vt:lpwstr>
  </property>
</Properties>
</file>